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3" w:rsidRPr="00A120CC" w:rsidRDefault="0074573A" w:rsidP="00215EF3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 Free Quitline</w:t>
      </w:r>
      <w:r w:rsidR="00640650" w:rsidRPr="00A120CC">
        <w:rPr>
          <w:b/>
          <w:sz w:val="28"/>
          <w:szCs w:val="28"/>
        </w:rPr>
        <w:t xml:space="preserve"> </w:t>
      </w:r>
      <w:r w:rsidR="00215EF3">
        <w:rPr>
          <w:b/>
          <w:sz w:val="28"/>
          <w:szCs w:val="28"/>
        </w:rPr>
        <w:t xml:space="preserve">Referral Methods </w:t>
      </w:r>
      <w:r w:rsidR="00640650" w:rsidRPr="00A120CC">
        <w:rPr>
          <w:b/>
          <w:sz w:val="28"/>
          <w:szCs w:val="28"/>
        </w:rPr>
        <w:t>for Cessation Services</w:t>
      </w:r>
    </w:p>
    <w:p w:rsidR="005133D6" w:rsidRDefault="005133D6" w:rsidP="00640650">
      <w:pPr>
        <w:spacing w:after="0" w:line="276" w:lineRule="auto"/>
      </w:pPr>
    </w:p>
    <w:p w:rsidR="00881C03" w:rsidRDefault="00215EF3" w:rsidP="00640650">
      <w:pPr>
        <w:spacing w:after="0" w:line="276" w:lineRule="auto"/>
      </w:pPr>
      <w:r w:rsidRPr="00C4363C">
        <w:t>As of January 2017, t</w:t>
      </w:r>
      <w:r w:rsidR="00881C03" w:rsidRPr="00C4363C">
        <w:t>here are four methods of referring tobacco users to the PA Free Quitline</w:t>
      </w:r>
      <w:r w:rsidRPr="00C4363C">
        <w:t xml:space="preserve"> for cessation services: Self-referral, </w:t>
      </w:r>
      <w:proofErr w:type="spellStart"/>
      <w:r w:rsidRPr="00C4363C">
        <w:t>Quitlogix</w:t>
      </w:r>
      <w:proofErr w:type="spellEnd"/>
      <w:r w:rsidRPr="00C4363C">
        <w:t xml:space="preserve"> online referral, Fax-to-Quit; and Bi-Directional e-Referral.</w:t>
      </w:r>
      <w:r w:rsidR="00881C03" w:rsidRPr="00C4363C">
        <w:t xml:space="preserve">  </w:t>
      </w:r>
    </w:p>
    <w:p w:rsidR="008830CD" w:rsidRDefault="00881C03" w:rsidP="00640650">
      <w:pPr>
        <w:spacing w:after="0" w:line="276" w:lineRule="auto"/>
      </w:pPr>
      <w:r>
        <w:t xml:space="preserve"> </w:t>
      </w:r>
    </w:p>
    <w:p w:rsidR="008830CD" w:rsidRPr="00401B4E" w:rsidRDefault="00401B4E" w:rsidP="00401B4E">
      <w:pPr>
        <w:spacing w:after="0" w:line="276" w:lineRule="auto"/>
        <w:rPr>
          <w:b/>
          <w:u w:val="single"/>
        </w:rPr>
      </w:pPr>
      <w:r w:rsidRPr="00401B4E">
        <w:rPr>
          <w:b/>
          <w:u w:val="single"/>
        </w:rPr>
        <w:t>Self-Referral</w:t>
      </w:r>
      <w:r w:rsidR="00A120CC" w:rsidRPr="00401B4E">
        <w:rPr>
          <w:b/>
          <w:u w:val="single"/>
        </w:rPr>
        <w:t xml:space="preserve"> </w:t>
      </w:r>
    </w:p>
    <w:p w:rsidR="00665111" w:rsidRDefault="00215EF3" w:rsidP="00640650">
      <w:pPr>
        <w:spacing w:after="0" w:line="276" w:lineRule="auto"/>
      </w:pPr>
      <w:r>
        <w:t>A t</w:t>
      </w:r>
      <w:r w:rsidR="008830CD">
        <w:t xml:space="preserve">obacco user may refer </w:t>
      </w:r>
      <w:r>
        <w:t xml:space="preserve">himself/herself to the PA Free Quitline </w:t>
      </w:r>
      <w:r w:rsidR="008830CD">
        <w:t>by</w:t>
      </w:r>
      <w:r w:rsidR="00665111">
        <w:t>:</w:t>
      </w:r>
    </w:p>
    <w:p w:rsidR="00665111" w:rsidRDefault="008830CD" w:rsidP="00665111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 calling </w:t>
      </w:r>
      <w:r w:rsidRPr="00665111">
        <w:rPr>
          <w:b/>
        </w:rPr>
        <w:t>1-800-Quit Now</w:t>
      </w:r>
      <w:r>
        <w:t xml:space="preserve"> </w:t>
      </w:r>
      <w:r w:rsidR="00665111">
        <w:t>and enrolling in the cessation program, OR</w:t>
      </w:r>
    </w:p>
    <w:p w:rsidR="00665111" w:rsidRDefault="00665111" w:rsidP="00665111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 </w:t>
      </w:r>
      <w:r w:rsidR="008830CD">
        <w:t>logging</w:t>
      </w:r>
      <w:r w:rsidR="00A120CC">
        <w:t xml:space="preserve"> on </w:t>
      </w:r>
      <w:r>
        <w:t xml:space="preserve">to </w:t>
      </w:r>
      <w:r>
        <w:rPr>
          <w:b/>
          <w:i/>
        </w:rPr>
        <w:t>https:/pa.</w:t>
      </w:r>
      <w:r w:rsidRPr="00665111">
        <w:rPr>
          <w:b/>
          <w:i/>
        </w:rPr>
        <w:t>quitlogix.org</w:t>
      </w:r>
      <w:r>
        <w:t>, then</w:t>
      </w:r>
    </w:p>
    <w:p w:rsidR="00665111" w:rsidRDefault="00665111" w:rsidP="00665111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Clicking on </w:t>
      </w:r>
      <w:r w:rsidRPr="00665111">
        <w:rPr>
          <w:b/>
          <w:i/>
        </w:rPr>
        <w:t>Enroll Now</w:t>
      </w:r>
    </w:p>
    <w:p w:rsidR="008830CD" w:rsidRDefault="00665111" w:rsidP="00665111">
      <w:pPr>
        <w:pStyle w:val="ListParagraph"/>
        <w:numPr>
          <w:ilvl w:val="0"/>
          <w:numId w:val="3"/>
        </w:numPr>
        <w:spacing w:after="0" w:line="276" w:lineRule="auto"/>
      </w:pPr>
      <w:r>
        <w:t>Completing all required documentation.</w:t>
      </w:r>
      <w:r w:rsidR="008830CD">
        <w:t xml:space="preserve">  </w:t>
      </w:r>
    </w:p>
    <w:p w:rsidR="00881C03" w:rsidRDefault="00881C03" w:rsidP="00881C03">
      <w:pPr>
        <w:spacing w:after="0" w:line="276" w:lineRule="auto"/>
      </w:pPr>
      <w:proofErr w:type="spellStart"/>
      <w:r w:rsidRPr="00C4363C">
        <w:t>Quitlogix</w:t>
      </w:r>
      <w:proofErr w:type="spellEnd"/>
      <w:r w:rsidRPr="00C4363C">
        <w:t xml:space="preserve"> web referral is convenient for someone with online access because the person can register at </w:t>
      </w:r>
      <w:r w:rsidR="00215EF3" w:rsidRPr="00C4363C">
        <w:t>any</w:t>
      </w:r>
      <w:r w:rsidR="00C4363C" w:rsidRPr="00C4363C">
        <w:t xml:space="preserve"> </w:t>
      </w:r>
      <w:r w:rsidR="00215EF3" w:rsidRPr="00C4363C">
        <w:t>time of the day (24 hours).</w:t>
      </w:r>
      <w:r w:rsidR="003540FD" w:rsidRPr="00C4363C">
        <w:t xml:space="preserve"> Also,</w:t>
      </w:r>
      <w:r w:rsidRPr="00C4363C">
        <w:t xml:space="preserve"> there is no need to use cell phone minutes</w:t>
      </w:r>
      <w:r w:rsidR="003540FD" w:rsidRPr="00C4363C">
        <w:t xml:space="preserve"> or </w:t>
      </w:r>
      <w:r w:rsidR="00655B7F" w:rsidRPr="00C4363C">
        <w:t xml:space="preserve">hold on the line while </w:t>
      </w:r>
      <w:r w:rsidRPr="00C4363C">
        <w:t>await</w:t>
      </w:r>
      <w:r w:rsidR="00655B7F" w:rsidRPr="00C4363C">
        <w:t xml:space="preserve">ing </w:t>
      </w:r>
      <w:r w:rsidRPr="00C4363C">
        <w:t>a</w:t>
      </w:r>
      <w:r w:rsidR="00370932" w:rsidRPr="00C4363C">
        <w:t xml:space="preserve"> response. T</w:t>
      </w:r>
      <w:r w:rsidR="003540FD" w:rsidRPr="00C4363C">
        <w:t xml:space="preserve">here is </w:t>
      </w:r>
      <w:r w:rsidR="00215EF3" w:rsidRPr="00C4363C">
        <w:t xml:space="preserve">also </w:t>
      </w:r>
      <w:r w:rsidR="003540FD" w:rsidRPr="00C4363C">
        <w:t xml:space="preserve">no risk of having a call disconnected </w:t>
      </w:r>
      <w:r w:rsidR="00655B7F" w:rsidRPr="00C4363C">
        <w:t>or having to leave a message.  The registrant should receive a call from the Quitline to begin</w:t>
      </w:r>
      <w:r w:rsidR="00EF6918" w:rsidRPr="00C4363C">
        <w:t xml:space="preserve"> the coaching process within 24-48</w:t>
      </w:r>
      <w:r w:rsidR="00655B7F" w:rsidRPr="00C4363C">
        <w:t xml:space="preserve"> hours of online registration.</w:t>
      </w:r>
      <w:r w:rsidR="00655B7F">
        <w:t xml:space="preserve"> </w:t>
      </w:r>
      <w:r w:rsidR="00370932">
        <w:t xml:space="preserve">The online </w:t>
      </w:r>
      <w:proofErr w:type="spellStart"/>
      <w:r w:rsidR="00370932">
        <w:t>Quitlogix</w:t>
      </w:r>
      <w:proofErr w:type="spellEnd"/>
      <w:r w:rsidR="00370932">
        <w:t xml:space="preserve"> registration includes the intake survey, thereby allowing the first call to be focused on coaching.</w:t>
      </w:r>
    </w:p>
    <w:p w:rsidR="008830CD" w:rsidRDefault="008830CD" w:rsidP="00640650">
      <w:pPr>
        <w:spacing w:after="0" w:line="276" w:lineRule="auto"/>
      </w:pPr>
    </w:p>
    <w:p w:rsidR="00A45D5E" w:rsidRPr="00401B4E" w:rsidRDefault="00401B4E" w:rsidP="00640650">
      <w:pPr>
        <w:spacing w:after="0" w:line="276" w:lineRule="auto"/>
        <w:rPr>
          <w:b/>
          <w:u w:val="single"/>
        </w:rPr>
      </w:pPr>
      <w:proofErr w:type="spellStart"/>
      <w:r w:rsidRPr="00401B4E">
        <w:rPr>
          <w:b/>
          <w:u w:val="single"/>
        </w:rPr>
        <w:t>Quitlogix</w:t>
      </w:r>
      <w:proofErr w:type="spellEnd"/>
      <w:r w:rsidRPr="00401B4E">
        <w:rPr>
          <w:b/>
          <w:u w:val="single"/>
        </w:rPr>
        <w:t xml:space="preserve"> Web Referral</w:t>
      </w:r>
    </w:p>
    <w:p w:rsidR="00CE0D06" w:rsidRDefault="005133D6" w:rsidP="00640650">
      <w:pPr>
        <w:spacing w:after="0" w:line="276" w:lineRule="auto"/>
      </w:pPr>
      <w:r w:rsidRPr="00EA6F48">
        <w:rPr>
          <w:i/>
        </w:rPr>
        <w:t>Healthcare providers and non-healthcare professionals</w:t>
      </w:r>
      <w:r>
        <w:t xml:space="preserve"> </w:t>
      </w:r>
      <w:r w:rsidRPr="00C314EF">
        <w:rPr>
          <w:b/>
        </w:rPr>
        <w:t>should use</w:t>
      </w:r>
      <w:r>
        <w:t xml:space="preserve"> this referral method </w:t>
      </w:r>
      <w:r w:rsidR="00CE0D06">
        <w:t>for all tobacco users except those</w:t>
      </w:r>
      <w:r>
        <w:t xml:space="preserve"> who would like to use </w:t>
      </w:r>
      <w:r w:rsidR="006E6C94">
        <w:t>Nicotine Replacement Therapy (</w:t>
      </w:r>
      <w:r>
        <w:t>NRT</w:t>
      </w:r>
      <w:r w:rsidR="006E6C94">
        <w:t>)</w:t>
      </w:r>
      <w:r w:rsidR="00CE0D06">
        <w:t xml:space="preserve"> </w:t>
      </w:r>
      <w:r w:rsidR="00CE0D06" w:rsidRPr="00707308">
        <w:rPr>
          <w:b/>
        </w:rPr>
        <w:t>but are not eligible for NRT</w:t>
      </w:r>
      <w:r w:rsidR="00CE0D06">
        <w:t xml:space="preserve"> </w:t>
      </w:r>
      <w:r w:rsidR="00CE0D06" w:rsidRPr="003E6AA6">
        <w:rPr>
          <w:b/>
        </w:rPr>
        <w:t>unless a physician signs an approval</w:t>
      </w:r>
      <w:r w:rsidR="00CE0D06">
        <w:t>. NRT ineligibility consists of the following contraindications: pregnant/breastfeeding women, individuals with</w:t>
      </w:r>
      <w:r w:rsidR="00A120CC">
        <w:t xml:space="preserve"> high blood pressure and/or heart disease.  </w:t>
      </w:r>
      <w:r w:rsidR="00CE0D06">
        <w:t>Tobacco users who are ineligible for NRT due to contraindicatio</w:t>
      </w:r>
      <w:r w:rsidR="00A37091">
        <w:t>ns must be referred via the Fax-to-Quit</w:t>
      </w:r>
      <w:r w:rsidR="00CE0D06">
        <w:t xml:space="preserve"> method</w:t>
      </w:r>
      <w:r w:rsidR="00A37091">
        <w:t xml:space="preserve"> to ensure a physician signs</w:t>
      </w:r>
      <w:r w:rsidR="00CE0D06">
        <w:t xml:space="preserve"> an approval for the NRT.</w:t>
      </w:r>
    </w:p>
    <w:p w:rsidR="00742051" w:rsidRDefault="00742051" w:rsidP="00640650">
      <w:pPr>
        <w:spacing w:after="0" w:line="276" w:lineRule="auto"/>
      </w:pPr>
    </w:p>
    <w:p w:rsidR="00742051" w:rsidRDefault="00742051" w:rsidP="00742051">
      <w:pPr>
        <w:spacing w:after="0" w:line="276" w:lineRule="auto"/>
      </w:pPr>
      <w:r w:rsidRPr="00EA6F48">
        <w:rPr>
          <w:i/>
        </w:rPr>
        <w:t xml:space="preserve">Tobacco users </w:t>
      </w:r>
      <w:r w:rsidR="00EA6F48" w:rsidRPr="00EA6F48">
        <w:rPr>
          <w:i/>
        </w:rPr>
        <w:t>a</w:t>
      </w:r>
      <w:r w:rsidR="00EA6F48">
        <w:t>re encouraged</w:t>
      </w:r>
      <w:r>
        <w:t xml:space="preserve"> self-enroll in the PA Free Quitline program, however, they must request coaching calls in order to receive NRT and they must meet the eligibility criterion for NRT (no contraindications exist).</w:t>
      </w:r>
    </w:p>
    <w:p w:rsidR="00742051" w:rsidRDefault="00742051" w:rsidP="00640650">
      <w:pPr>
        <w:spacing w:after="0" w:line="276" w:lineRule="auto"/>
      </w:pPr>
    </w:p>
    <w:p w:rsidR="00CE0D06" w:rsidRDefault="00565567" w:rsidP="00640650">
      <w:pPr>
        <w:spacing w:after="0" w:line="276" w:lineRule="auto"/>
      </w:pPr>
      <w:r>
        <w:t xml:space="preserve">The PA Free Quitline will offer </w:t>
      </w:r>
      <w:r w:rsidR="002D7D9D">
        <w:t>five</w:t>
      </w:r>
      <w:r>
        <w:t xml:space="preserve"> coaching calls</w:t>
      </w:r>
      <w:r w:rsidR="00EA6F48">
        <w:t xml:space="preserve"> and</w:t>
      </w:r>
      <w:r w:rsidR="006E6C94">
        <w:t xml:space="preserve"> </w:t>
      </w:r>
      <w:r w:rsidR="00EA6F48">
        <w:t xml:space="preserve">free NRT who meet eligibility criteria </w:t>
      </w:r>
      <w:r w:rsidR="006E6C94">
        <w:t>t</w:t>
      </w:r>
      <w:r w:rsidR="002D7D9D">
        <w:t xml:space="preserve">o </w:t>
      </w:r>
      <w:proofErr w:type="spellStart"/>
      <w:r w:rsidR="002D7D9D">
        <w:t>Quitlogix</w:t>
      </w:r>
      <w:proofErr w:type="spellEnd"/>
      <w:r w:rsidR="002D7D9D">
        <w:t xml:space="preserve"> enrollees.</w:t>
      </w:r>
      <w:r w:rsidR="009665B5">
        <w:t xml:space="preserve">  The Quitline will also FAX</w:t>
      </w:r>
      <w:r w:rsidR="006E6C94">
        <w:t xml:space="preserve"> follow-up reports back to the referring party to provide follow-up on the referral. The reports will indicate whether the referred person e</w:t>
      </w:r>
      <w:r w:rsidR="00AA1D3F">
        <w:t>nrolled in the Quitline program and used NRT or did not.</w:t>
      </w:r>
      <w:r w:rsidR="00A45D5E">
        <w:t xml:space="preserve">  </w:t>
      </w:r>
    </w:p>
    <w:p w:rsidR="00EA6F48" w:rsidRDefault="00EA6F48" w:rsidP="00640650">
      <w:pPr>
        <w:spacing w:after="0" w:line="276" w:lineRule="auto"/>
      </w:pPr>
    </w:p>
    <w:p w:rsidR="00CE0D06" w:rsidRDefault="00CE0D06" w:rsidP="00640650">
      <w:pPr>
        <w:spacing w:after="0" w:line="276" w:lineRule="auto"/>
      </w:pPr>
      <w:r>
        <w:t xml:space="preserve">To refer tobacco users via </w:t>
      </w:r>
      <w:proofErr w:type="spellStart"/>
      <w:r>
        <w:t>Quitlogix</w:t>
      </w:r>
      <w:proofErr w:type="spellEnd"/>
      <w:r>
        <w:t>:</w:t>
      </w:r>
    </w:p>
    <w:p w:rsidR="00CE0D06" w:rsidRDefault="00CE0D06" w:rsidP="00CE0D06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Go to </w:t>
      </w:r>
      <w:r w:rsidR="00A120CC">
        <w:rPr>
          <w:b/>
          <w:i/>
        </w:rPr>
        <w:t>https:/</w:t>
      </w:r>
      <w:r>
        <w:rPr>
          <w:b/>
          <w:i/>
        </w:rPr>
        <w:t>pa.quitlogix.org</w:t>
      </w:r>
      <w:r>
        <w:t>.</w:t>
      </w:r>
    </w:p>
    <w:p w:rsidR="00CE0D06" w:rsidRDefault="00EA6F48" w:rsidP="00CE0D06">
      <w:pPr>
        <w:pStyle w:val="ListParagraph"/>
        <w:numPr>
          <w:ilvl w:val="0"/>
          <w:numId w:val="1"/>
        </w:numPr>
        <w:spacing w:after="0" w:line="276" w:lineRule="auto"/>
      </w:pPr>
      <w:r>
        <w:t>C</w:t>
      </w:r>
      <w:r w:rsidR="00CE0D06">
        <w:t xml:space="preserve">lick on </w:t>
      </w:r>
      <w:r w:rsidR="00CE0D06">
        <w:rPr>
          <w:b/>
          <w:i/>
        </w:rPr>
        <w:t>Healthcare Provider</w:t>
      </w:r>
      <w:r w:rsidR="00CE0D06">
        <w:t>.</w:t>
      </w:r>
    </w:p>
    <w:p w:rsidR="00CE0D06" w:rsidRDefault="00EA6F48" w:rsidP="00CE0D06">
      <w:pPr>
        <w:pStyle w:val="ListParagraph"/>
        <w:numPr>
          <w:ilvl w:val="0"/>
          <w:numId w:val="1"/>
        </w:numPr>
        <w:spacing w:after="0" w:line="276" w:lineRule="auto"/>
      </w:pPr>
      <w:r>
        <w:t>C</w:t>
      </w:r>
      <w:r w:rsidR="00CE0D06">
        <w:t xml:space="preserve">lick on </w:t>
      </w:r>
      <w:r>
        <w:t xml:space="preserve">the </w:t>
      </w:r>
      <w:r w:rsidR="00CE0D06">
        <w:rPr>
          <w:b/>
          <w:i/>
        </w:rPr>
        <w:t>How to Refer Patients</w:t>
      </w:r>
      <w:r>
        <w:t xml:space="preserve"> box.</w:t>
      </w:r>
    </w:p>
    <w:p w:rsidR="00CE0D06" w:rsidRDefault="00CE0D06" w:rsidP="00CE0D06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On the next page click on </w:t>
      </w:r>
      <w:r>
        <w:rPr>
          <w:b/>
          <w:i/>
        </w:rPr>
        <w:t>Provider Web Referral</w:t>
      </w:r>
      <w:r>
        <w:t>.</w:t>
      </w:r>
    </w:p>
    <w:p w:rsidR="00CE0D06" w:rsidRDefault="00CE0D06" w:rsidP="00CE0D06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Fill in </w:t>
      </w:r>
      <w:r>
        <w:rPr>
          <w:b/>
          <w:i/>
        </w:rPr>
        <w:t xml:space="preserve">Patient </w:t>
      </w:r>
      <w:r w:rsidRPr="00CE0D06">
        <w:t>Information</w:t>
      </w:r>
      <w:r>
        <w:rPr>
          <w:b/>
          <w:i/>
        </w:rPr>
        <w:t xml:space="preserve"> </w:t>
      </w:r>
      <w:r>
        <w:t xml:space="preserve">section in the upper portion of the page, then fill in </w:t>
      </w:r>
      <w:r w:rsidR="00A05738">
        <w:rPr>
          <w:b/>
          <w:i/>
        </w:rPr>
        <w:t xml:space="preserve">Clinic Information </w:t>
      </w:r>
      <w:r w:rsidR="00A05738">
        <w:t>in the lower portion of the page.  (Clinic is synonymous with provider.)</w:t>
      </w:r>
    </w:p>
    <w:p w:rsidR="00A05738" w:rsidRDefault="00A05738" w:rsidP="00CE0D06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Click on the </w:t>
      </w:r>
      <w:r>
        <w:rPr>
          <w:b/>
          <w:i/>
        </w:rPr>
        <w:t>Autho</w:t>
      </w:r>
      <w:r w:rsidR="002B67B8">
        <w:rPr>
          <w:b/>
          <w:i/>
        </w:rPr>
        <w:t>r</w:t>
      </w:r>
      <w:r>
        <w:rPr>
          <w:b/>
          <w:i/>
        </w:rPr>
        <w:t xml:space="preserve">ization </w:t>
      </w:r>
      <w:r w:rsidR="002B67B8">
        <w:t>box to indicate that the tobacco user has given permission for the referral to the PA Free Quitline and the sharing of his/her personal health information for cessation purposes.</w:t>
      </w:r>
    </w:p>
    <w:p w:rsidR="00655B7F" w:rsidRDefault="002B67B8" w:rsidP="002B67B8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Click on </w:t>
      </w:r>
      <w:r>
        <w:rPr>
          <w:b/>
          <w:i/>
        </w:rPr>
        <w:t>Submit</w:t>
      </w:r>
      <w:r>
        <w:t>.</w:t>
      </w:r>
    </w:p>
    <w:p w:rsidR="00655B7F" w:rsidRDefault="00EA6F48" w:rsidP="00655B7F">
      <w:pPr>
        <w:spacing w:after="0" w:line="276" w:lineRule="auto"/>
      </w:pPr>
      <w:proofErr w:type="spellStart"/>
      <w:r w:rsidRPr="00C4363C">
        <w:t>Quitlogix</w:t>
      </w:r>
      <w:proofErr w:type="spellEnd"/>
      <w:r w:rsidRPr="00C4363C">
        <w:t xml:space="preserve"> Web R</w:t>
      </w:r>
      <w:r w:rsidR="00655B7F" w:rsidRPr="00C4363C">
        <w:t xml:space="preserve">eferral is beneficial for a </w:t>
      </w:r>
      <w:r w:rsidRPr="00C4363C">
        <w:t>referring provider/</w:t>
      </w:r>
      <w:r w:rsidR="00655B7F" w:rsidRPr="00C4363C">
        <w:t>party who has online access</w:t>
      </w:r>
      <w:r w:rsidRPr="00C4363C">
        <w:t xml:space="preserve">.  </w:t>
      </w:r>
      <w:proofErr w:type="spellStart"/>
      <w:r w:rsidRPr="00C4363C">
        <w:t>Quitlogix</w:t>
      </w:r>
      <w:proofErr w:type="spellEnd"/>
      <w:r w:rsidRPr="00C4363C">
        <w:t xml:space="preserve"> Web Referral offers the referring provider/party two options: (1) complete the provider referral and receive follow-up reports, or (2) request the tobacco user to register himself/herself during the visit </w:t>
      </w:r>
      <w:r w:rsidR="003A395B" w:rsidRPr="00C4363C">
        <w:t>to ensure the tobacco user successfully registers.</w:t>
      </w:r>
      <w:r w:rsidR="00655B7F" w:rsidRPr="00C4363C">
        <w:t xml:space="preserve"> </w:t>
      </w:r>
      <w:r w:rsidR="003A395B" w:rsidRPr="00C4363C">
        <w:t xml:space="preserve"> </w:t>
      </w:r>
      <w:proofErr w:type="spellStart"/>
      <w:r w:rsidR="003A395B" w:rsidRPr="00C4363C">
        <w:t>Quitlogix</w:t>
      </w:r>
      <w:proofErr w:type="spellEnd"/>
      <w:r w:rsidR="003A395B" w:rsidRPr="00C4363C">
        <w:t xml:space="preserve"> Web Referral eliminates the risk </w:t>
      </w:r>
      <w:r w:rsidR="00655B7F" w:rsidRPr="00C4363C">
        <w:t xml:space="preserve">of the FAX not reaching the Quitline or the handwriting being </w:t>
      </w:r>
      <w:r w:rsidR="003A395B" w:rsidRPr="00C4363C">
        <w:t>il</w:t>
      </w:r>
      <w:r w:rsidR="00655B7F" w:rsidRPr="00C4363C">
        <w:t>legible</w:t>
      </w:r>
      <w:r w:rsidR="00027E6A" w:rsidRPr="00C4363C">
        <w:t xml:space="preserve"> </w:t>
      </w:r>
      <w:r w:rsidR="003A395B" w:rsidRPr="00C4363C">
        <w:t>on the form</w:t>
      </w:r>
      <w:r w:rsidR="00027E6A" w:rsidRPr="00C4363C">
        <w:t>. The tobacco user</w:t>
      </w:r>
      <w:r w:rsidR="00655B7F" w:rsidRPr="00C4363C">
        <w:t xml:space="preserve"> should receive a call from the Quitline to begin</w:t>
      </w:r>
      <w:r w:rsidR="00EF6918" w:rsidRPr="00C4363C">
        <w:t xml:space="preserve"> the coaching process within 24-48</w:t>
      </w:r>
      <w:r w:rsidR="00655B7F" w:rsidRPr="00C4363C">
        <w:t xml:space="preserve"> hours of online registration.</w:t>
      </w:r>
      <w:r w:rsidR="00655B7F">
        <w:t xml:space="preserve"> </w:t>
      </w:r>
    </w:p>
    <w:p w:rsidR="000C58FF" w:rsidRDefault="000C58FF" w:rsidP="00655B7F">
      <w:pPr>
        <w:spacing w:after="0" w:line="276" w:lineRule="auto"/>
      </w:pPr>
    </w:p>
    <w:p w:rsidR="000C58FF" w:rsidRDefault="000C58FF" w:rsidP="000C58FF">
      <w:pPr>
        <w:spacing w:after="0" w:line="276" w:lineRule="auto"/>
      </w:pPr>
      <w:r>
        <w:t xml:space="preserve">The </w:t>
      </w:r>
      <w:r w:rsidR="003A395B" w:rsidRPr="003A395B">
        <w:rPr>
          <w:i/>
        </w:rPr>
        <w:t xml:space="preserve">Healthcare </w:t>
      </w:r>
      <w:r w:rsidRPr="003A395B">
        <w:rPr>
          <w:i/>
        </w:rPr>
        <w:t>Provider</w:t>
      </w:r>
      <w:r>
        <w:t xml:space="preserve"> section</w:t>
      </w:r>
      <w:r w:rsidR="003A395B">
        <w:t xml:space="preserve"> of </w:t>
      </w:r>
      <w:proofErr w:type="spellStart"/>
      <w:r w:rsidR="003A395B">
        <w:t>Quitlogix</w:t>
      </w:r>
      <w:proofErr w:type="spellEnd"/>
      <w:r>
        <w:t xml:space="preserve"> also contains </w:t>
      </w:r>
      <w:r>
        <w:rPr>
          <w:b/>
          <w:i/>
        </w:rPr>
        <w:t>How to Talk to Patients about Tobacco</w:t>
      </w:r>
      <w:r>
        <w:t xml:space="preserve"> </w:t>
      </w:r>
      <w:r w:rsidR="003A395B">
        <w:t>that</w:t>
      </w:r>
      <w:r>
        <w:t xml:space="preserve"> includes a demo</w:t>
      </w:r>
      <w:r w:rsidR="003A395B">
        <w:t>nstration video using the Ask</w:t>
      </w:r>
      <w:r>
        <w:t xml:space="preserve">, Advise, Refer (AAR) model of Brief Intervention. The </w:t>
      </w:r>
      <w:r w:rsidRPr="003A395B">
        <w:rPr>
          <w:i/>
        </w:rPr>
        <w:t>Provider</w:t>
      </w:r>
      <w:r w:rsidR="003A395B" w:rsidRPr="003A395B">
        <w:rPr>
          <w:i/>
        </w:rPr>
        <w:t xml:space="preserve"> Section</w:t>
      </w:r>
      <w:r w:rsidR="003A395B">
        <w:rPr>
          <w:i/>
        </w:rPr>
        <w:t xml:space="preserve"> </w:t>
      </w:r>
      <w:r>
        <w:t>contains other useful information as well.</w:t>
      </w:r>
    </w:p>
    <w:p w:rsidR="000337C7" w:rsidRPr="00027E6A" w:rsidRDefault="000337C7" w:rsidP="002B67B8">
      <w:pPr>
        <w:spacing w:after="0" w:line="276" w:lineRule="auto"/>
      </w:pPr>
    </w:p>
    <w:p w:rsidR="00C55E10" w:rsidRDefault="00565567" w:rsidP="002B67B8">
      <w:pPr>
        <w:spacing w:after="0" w:line="276" w:lineRule="auto"/>
      </w:pPr>
      <w:r w:rsidRPr="00401B4E">
        <w:rPr>
          <w:b/>
          <w:u w:val="single"/>
        </w:rPr>
        <w:t>Fax-to-Quit</w:t>
      </w:r>
      <w:r w:rsidR="00EF1D82">
        <w:rPr>
          <w:b/>
          <w:u w:val="single"/>
        </w:rPr>
        <w:t xml:space="preserve"> Referral</w:t>
      </w:r>
      <w:r>
        <w:t>:</w:t>
      </w:r>
    </w:p>
    <w:p w:rsidR="00401B4E" w:rsidRPr="00C4363C" w:rsidRDefault="00EF1D82" w:rsidP="002B67B8">
      <w:pPr>
        <w:spacing w:after="0" w:line="276" w:lineRule="auto"/>
      </w:pPr>
      <w:r w:rsidRPr="00C4363C">
        <w:t xml:space="preserve">Use </w:t>
      </w:r>
      <w:r w:rsidR="00401B4E" w:rsidRPr="00C4363C">
        <w:t xml:space="preserve">Fax-to-Quit referral </w:t>
      </w:r>
      <w:r w:rsidRPr="00C4363C">
        <w:t xml:space="preserve">in </w:t>
      </w:r>
      <w:r w:rsidR="00401B4E" w:rsidRPr="00C4363C">
        <w:t>only two circumstances:</w:t>
      </w:r>
    </w:p>
    <w:p w:rsidR="000C008F" w:rsidRPr="00C4363C" w:rsidRDefault="00EF1D82" w:rsidP="00401B4E">
      <w:pPr>
        <w:pStyle w:val="ListParagraph"/>
        <w:numPr>
          <w:ilvl w:val="0"/>
          <w:numId w:val="11"/>
        </w:numPr>
        <w:spacing w:after="0" w:line="276" w:lineRule="auto"/>
      </w:pPr>
      <w:r w:rsidRPr="00C4363C">
        <w:t>W</w:t>
      </w:r>
      <w:r w:rsidR="00401B4E" w:rsidRPr="00C4363C">
        <w:t>hen the tobacco user would like NRT but has a contra-indication to it (is pregnant or has a history of cardiac or respiratory disease).</w:t>
      </w:r>
      <w:r w:rsidR="000C008F" w:rsidRPr="00C4363C">
        <w:t xml:space="preserve"> The provider is required to sign the form</w:t>
      </w:r>
      <w:r w:rsidR="00C4363C">
        <w:t xml:space="preserve"> </w:t>
      </w:r>
      <w:r w:rsidR="000C008F" w:rsidRPr="00C4363C">
        <w:t>in order for these tobacco users to receive NRT.</w:t>
      </w:r>
    </w:p>
    <w:p w:rsidR="00401B4E" w:rsidRPr="00C4363C" w:rsidRDefault="00EF1D82" w:rsidP="00401B4E">
      <w:pPr>
        <w:pStyle w:val="ListParagraph"/>
        <w:numPr>
          <w:ilvl w:val="0"/>
          <w:numId w:val="11"/>
        </w:numPr>
        <w:spacing w:after="0" w:line="276" w:lineRule="auto"/>
      </w:pPr>
      <w:r w:rsidRPr="00C4363C">
        <w:t>When t</w:t>
      </w:r>
      <w:r w:rsidR="00401B4E" w:rsidRPr="00C4363C">
        <w:t xml:space="preserve">here is no online access to </w:t>
      </w:r>
      <w:proofErr w:type="spellStart"/>
      <w:r w:rsidR="00401B4E" w:rsidRPr="00C4363C">
        <w:t>Quitlogix</w:t>
      </w:r>
      <w:proofErr w:type="spellEnd"/>
      <w:r w:rsidR="00401B4E" w:rsidRPr="00C4363C">
        <w:t xml:space="preserve"> but there is access to a FAX machine.</w:t>
      </w:r>
    </w:p>
    <w:p w:rsidR="00AA1D3F" w:rsidRDefault="00EF1D82" w:rsidP="002B67B8">
      <w:pPr>
        <w:spacing w:after="0" w:line="276" w:lineRule="auto"/>
      </w:pPr>
      <w:r w:rsidRPr="00C4363C">
        <w:t xml:space="preserve">A </w:t>
      </w:r>
      <w:r w:rsidR="00AA1D3F" w:rsidRPr="00C4363C">
        <w:t>Fax</w:t>
      </w:r>
      <w:r w:rsidR="00691C6C" w:rsidRPr="00C4363C">
        <w:t>-</w:t>
      </w:r>
      <w:r w:rsidR="00AA1D3F" w:rsidRPr="00C4363C">
        <w:t>to</w:t>
      </w:r>
      <w:r w:rsidR="00691C6C" w:rsidRPr="00C4363C">
        <w:t>-</w:t>
      </w:r>
      <w:r w:rsidR="00AA1D3F" w:rsidRPr="00C4363C">
        <w:t>Quit provide</w:t>
      </w:r>
      <w:r w:rsidR="00665111" w:rsidRPr="00C4363C">
        <w:t>r will</w:t>
      </w:r>
      <w:r w:rsidR="00AA1D3F" w:rsidRPr="00C4363C">
        <w:t xml:space="preserve"> use a tailored fax referral form (with </w:t>
      </w:r>
      <w:r w:rsidR="00401B4E" w:rsidRPr="00C4363C">
        <w:t>provider name</w:t>
      </w:r>
      <w:r w:rsidR="009D3C0E" w:rsidRPr="00C4363C">
        <w:t>/practice site</w:t>
      </w:r>
      <w:r w:rsidRPr="00C4363C">
        <w:t xml:space="preserve">) each time he/she </w:t>
      </w:r>
      <w:r w:rsidR="00AA1D3F" w:rsidRPr="00C4363C">
        <w:t>refer</w:t>
      </w:r>
      <w:r w:rsidRPr="00C4363C">
        <w:t>s</w:t>
      </w:r>
      <w:r w:rsidR="00AA1D3F" w:rsidRPr="00C4363C">
        <w:t>.</w:t>
      </w:r>
      <w:r w:rsidR="00AA1D3F" w:rsidRPr="00C55E10">
        <w:t xml:space="preserve">  The PA Free Quitline provides pro-active c</w:t>
      </w:r>
      <w:r w:rsidR="00C55E10">
        <w:t>oachi</w:t>
      </w:r>
      <w:r w:rsidR="00AA1D3F" w:rsidRPr="00C55E10">
        <w:t>ng and NR</w:t>
      </w:r>
      <w:r w:rsidR="00C55E10">
        <w:t>T</w:t>
      </w:r>
      <w:r w:rsidR="00AA1D3F" w:rsidRPr="00C55E10">
        <w:t xml:space="preserve"> to </w:t>
      </w:r>
      <w:r w:rsidR="00C55E10">
        <w:t xml:space="preserve">tobacco users referred via </w:t>
      </w:r>
      <w:r w:rsidR="00AA1D3F" w:rsidRPr="00C55E10">
        <w:t>Fax</w:t>
      </w:r>
      <w:r w:rsidR="00691C6C">
        <w:t>-</w:t>
      </w:r>
      <w:r w:rsidR="00AA1D3F" w:rsidRPr="00C55E10">
        <w:t>to</w:t>
      </w:r>
      <w:r w:rsidR="00691C6C">
        <w:t>-</w:t>
      </w:r>
      <w:r w:rsidR="00AA1D3F" w:rsidRPr="00C55E10">
        <w:t>Quit</w:t>
      </w:r>
      <w:r w:rsidR="00C55E10">
        <w:t>.  The referring parties receive</w:t>
      </w:r>
      <w:r w:rsidR="00AA1D3F" w:rsidRPr="00C55E10">
        <w:t xml:space="preserve"> follow-up fax </w:t>
      </w:r>
      <w:r w:rsidR="00C55E10">
        <w:t>reports</w:t>
      </w:r>
      <w:r w:rsidR="00B93802">
        <w:t xml:space="preserve"> so that</w:t>
      </w:r>
      <w:r w:rsidR="00AA1D3F" w:rsidRPr="00C55E10">
        <w:t xml:space="preserve"> they are aware of the</w:t>
      </w:r>
      <w:r w:rsidR="00C55E10">
        <w:t xml:space="preserve"> results of the referral, that is,</w:t>
      </w:r>
      <w:r w:rsidR="00B93802">
        <w:t xml:space="preserve"> whether the referred person enrolled in the Quitline program and used NRT or did not. </w:t>
      </w:r>
      <w:r w:rsidR="00040392">
        <w:t xml:space="preserve"> Fax-to-Quit may only be used with HIPAA-compliant facilities.</w:t>
      </w:r>
    </w:p>
    <w:p w:rsidR="001918E5" w:rsidRDefault="001918E5" w:rsidP="001918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918E5" w:rsidRPr="00665111" w:rsidRDefault="00665111" w:rsidP="001918E5">
      <w:pPr>
        <w:pStyle w:val="NoSpacing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Find</w:t>
      </w:r>
      <w:r w:rsidR="004014B2">
        <w:rPr>
          <w:rFonts w:asciiTheme="minorHAnsi" w:hAnsiTheme="minorHAnsi"/>
        </w:rPr>
        <w:t xml:space="preserve"> the</w:t>
      </w:r>
      <w:r>
        <w:rPr>
          <w:rFonts w:asciiTheme="minorHAnsi" w:hAnsiTheme="minorHAnsi"/>
        </w:rPr>
        <w:t xml:space="preserve"> </w:t>
      </w:r>
      <w:r w:rsidR="001918E5" w:rsidRPr="008830CD">
        <w:rPr>
          <w:rFonts w:asciiTheme="minorHAnsi" w:hAnsiTheme="minorHAnsi"/>
        </w:rPr>
        <w:t>Fax</w:t>
      </w:r>
      <w:r w:rsidR="00A120CC">
        <w:rPr>
          <w:rFonts w:asciiTheme="minorHAnsi" w:hAnsiTheme="minorHAnsi"/>
        </w:rPr>
        <w:t>-</w:t>
      </w:r>
      <w:r w:rsidR="001918E5" w:rsidRPr="008830CD">
        <w:rPr>
          <w:rFonts w:asciiTheme="minorHAnsi" w:hAnsiTheme="minorHAnsi"/>
        </w:rPr>
        <w:t>t</w:t>
      </w:r>
      <w:r w:rsidR="00A120CC">
        <w:rPr>
          <w:rFonts w:asciiTheme="minorHAnsi" w:hAnsiTheme="minorHAnsi"/>
        </w:rPr>
        <w:t xml:space="preserve">o-Quit Physician Referral Form at </w:t>
      </w:r>
      <w:r w:rsidR="00A120CC" w:rsidRPr="00665111">
        <w:rPr>
          <w:rFonts w:asciiTheme="minorHAnsi" w:hAnsiTheme="minorHAnsi"/>
          <w:b/>
          <w:i/>
        </w:rPr>
        <w:t xml:space="preserve">www.health.state.pa.us/faxtoquit </w:t>
      </w:r>
    </w:p>
    <w:p w:rsidR="008830CD" w:rsidRPr="008830CD" w:rsidRDefault="008830CD" w:rsidP="001918E5">
      <w:pPr>
        <w:pStyle w:val="NoSpacing"/>
        <w:jc w:val="both"/>
        <w:rPr>
          <w:rFonts w:asciiTheme="minorHAnsi" w:hAnsiTheme="minorHAnsi"/>
        </w:rPr>
      </w:pPr>
    </w:p>
    <w:p w:rsidR="008830CD" w:rsidRDefault="008830CD" w:rsidP="001918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0B30" w:rsidRDefault="008830CD" w:rsidP="001918E5">
      <w:pPr>
        <w:pStyle w:val="NoSpacing"/>
        <w:jc w:val="both"/>
        <w:rPr>
          <w:rFonts w:asciiTheme="minorHAnsi" w:hAnsiTheme="minorHAnsi"/>
          <w:u w:val="single"/>
        </w:rPr>
      </w:pPr>
      <w:r w:rsidRPr="000C008F">
        <w:rPr>
          <w:rFonts w:asciiTheme="minorHAnsi" w:hAnsiTheme="minorHAnsi"/>
          <w:b/>
          <w:u w:val="single"/>
        </w:rPr>
        <w:t>Bi-directional e-Referral</w:t>
      </w:r>
      <w:r w:rsidR="006A0B30">
        <w:rPr>
          <w:rFonts w:asciiTheme="minorHAnsi" w:hAnsiTheme="minorHAnsi"/>
          <w:u w:val="single"/>
        </w:rPr>
        <w:t>:</w:t>
      </w:r>
    </w:p>
    <w:p w:rsidR="00565567" w:rsidRPr="008830CD" w:rsidRDefault="006A0B30" w:rsidP="00BF6244">
      <w:pPr>
        <w:pStyle w:val="NoSpacing"/>
        <w:jc w:val="both"/>
      </w:pPr>
      <w:r>
        <w:rPr>
          <w:rFonts w:asciiTheme="minorHAnsi" w:hAnsiTheme="minorHAnsi"/>
        </w:rPr>
        <w:t>The option of using bi-directional e-Referral is available but is used primarily with healthcare systems or subsystems at this point in time.  E-Referral requires specific IT platforms and software for both parties in th</w:t>
      </w:r>
      <w:r w:rsidR="00FF67B8">
        <w:rPr>
          <w:rFonts w:asciiTheme="minorHAnsi" w:hAnsiTheme="minorHAnsi"/>
        </w:rPr>
        <w:t xml:space="preserve">e bi-directional process. </w:t>
      </w:r>
      <w:r w:rsidR="00707308">
        <w:rPr>
          <w:rFonts w:asciiTheme="minorHAnsi" w:hAnsiTheme="minorHAnsi"/>
        </w:rPr>
        <w:t>The Department of Health</w:t>
      </w:r>
      <w:r>
        <w:rPr>
          <w:rFonts w:asciiTheme="minorHAnsi" w:hAnsiTheme="minorHAnsi"/>
        </w:rPr>
        <w:t xml:space="preserve"> anticipate</w:t>
      </w:r>
      <w:r w:rsidR="0070730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progression in the development of these IT platforms and software that will allow for more common use throughout the state, </w:t>
      </w:r>
      <w:r w:rsidR="00FF67B8">
        <w:rPr>
          <w:rFonts w:asciiTheme="minorHAnsi" w:hAnsiTheme="minorHAnsi"/>
        </w:rPr>
        <w:t xml:space="preserve">but </w:t>
      </w:r>
      <w:r w:rsidR="00707308">
        <w:rPr>
          <w:rFonts w:asciiTheme="minorHAnsi" w:hAnsiTheme="minorHAnsi"/>
        </w:rPr>
        <w:t>at this point in time is</w:t>
      </w:r>
      <w:r>
        <w:rPr>
          <w:rFonts w:asciiTheme="minorHAnsi" w:hAnsiTheme="minorHAnsi"/>
        </w:rPr>
        <w:t xml:space="preserve"> offering the use of bi-directional e-Referral to selected healthcare systems.</w:t>
      </w:r>
      <w:r w:rsidR="004E29E1">
        <w:rPr>
          <w:rFonts w:asciiTheme="minorHAnsi" w:hAnsiTheme="minorHAnsi"/>
        </w:rPr>
        <w:t xml:space="preserve">  Organizations interested in using Bi-directional </w:t>
      </w:r>
      <w:r w:rsidR="00707308">
        <w:rPr>
          <w:rFonts w:asciiTheme="minorHAnsi" w:hAnsiTheme="minorHAnsi"/>
        </w:rPr>
        <w:t>e-Referral should contact the</w:t>
      </w:r>
      <w:r w:rsidR="00FE42C4">
        <w:rPr>
          <w:rFonts w:asciiTheme="minorHAnsi" w:hAnsiTheme="minorHAnsi"/>
        </w:rPr>
        <w:t xml:space="preserve"> Quitline Coordinator at the</w:t>
      </w:r>
      <w:r w:rsidR="00707308">
        <w:rPr>
          <w:rFonts w:asciiTheme="minorHAnsi" w:hAnsiTheme="minorHAnsi"/>
        </w:rPr>
        <w:t xml:space="preserve"> </w:t>
      </w:r>
      <w:r w:rsidR="004E29E1">
        <w:rPr>
          <w:rFonts w:asciiTheme="minorHAnsi" w:hAnsiTheme="minorHAnsi"/>
        </w:rPr>
        <w:t>Department of Health, Division of Tobacco Prevention a</w:t>
      </w:r>
      <w:r w:rsidR="00FE42C4">
        <w:rPr>
          <w:rFonts w:asciiTheme="minorHAnsi" w:hAnsiTheme="minorHAnsi"/>
        </w:rPr>
        <w:t xml:space="preserve">nd Control, </w:t>
      </w:r>
      <w:r w:rsidR="004E29E1">
        <w:rPr>
          <w:rFonts w:asciiTheme="minorHAnsi" w:hAnsiTheme="minorHAnsi"/>
        </w:rPr>
        <w:t>717-783-6600.</w:t>
      </w:r>
    </w:p>
    <w:sectPr w:rsidR="00565567" w:rsidRPr="008830CD" w:rsidSect="00D36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E09" w:rsidRDefault="00BC0E09" w:rsidP="00F1098C">
      <w:pPr>
        <w:spacing w:after="0" w:line="240" w:lineRule="auto"/>
      </w:pPr>
      <w:r>
        <w:separator/>
      </w:r>
    </w:p>
  </w:endnote>
  <w:endnote w:type="continuationSeparator" w:id="0">
    <w:p w:rsidR="00BC0E09" w:rsidRDefault="00BC0E09" w:rsidP="00F1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8C" w:rsidRDefault="00F109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7160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098C" w:rsidRDefault="00D363E9">
        <w:pPr>
          <w:pStyle w:val="Footer"/>
          <w:jc w:val="right"/>
        </w:pPr>
        <w:r>
          <w:fldChar w:fldCharType="begin"/>
        </w:r>
        <w:r w:rsidR="00F1098C">
          <w:instrText xml:space="preserve"> PAGE   \* MERGEFORMAT </w:instrText>
        </w:r>
        <w:r>
          <w:fldChar w:fldCharType="separate"/>
        </w:r>
        <w:r w:rsidR="00755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098C" w:rsidRDefault="00F109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8C" w:rsidRDefault="00F109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E09" w:rsidRDefault="00BC0E09" w:rsidP="00F1098C">
      <w:pPr>
        <w:spacing w:after="0" w:line="240" w:lineRule="auto"/>
      </w:pPr>
      <w:r>
        <w:separator/>
      </w:r>
    </w:p>
  </w:footnote>
  <w:footnote w:type="continuationSeparator" w:id="0">
    <w:p w:rsidR="00BC0E09" w:rsidRDefault="00BC0E09" w:rsidP="00F1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8C" w:rsidRDefault="00F109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8C" w:rsidRDefault="00F109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8C" w:rsidRDefault="00F109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B66"/>
    <w:multiLevelType w:val="hybridMultilevel"/>
    <w:tmpl w:val="E1589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37F4C"/>
    <w:multiLevelType w:val="hybridMultilevel"/>
    <w:tmpl w:val="B4907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438C6"/>
    <w:multiLevelType w:val="hybridMultilevel"/>
    <w:tmpl w:val="4AC4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28BA"/>
    <w:multiLevelType w:val="hybridMultilevel"/>
    <w:tmpl w:val="1422D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238CD"/>
    <w:multiLevelType w:val="hybridMultilevel"/>
    <w:tmpl w:val="B1B26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3247F"/>
    <w:multiLevelType w:val="hybridMultilevel"/>
    <w:tmpl w:val="AB94CA78"/>
    <w:lvl w:ilvl="0" w:tplc="FC18D8B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E004D"/>
    <w:multiLevelType w:val="hybridMultilevel"/>
    <w:tmpl w:val="E796105A"/>
    <w:lvl w:ilvl="0" w:tplc="45240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7B7F1C"/>
    <w:multiLevelType w:val="hybridMultilevel"/>
    <w:tmpl w:val="6A4C4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C7D59"/>
    <w:multiLevelType w:val="hybridMultilevel"/>
    <w:tmpl w:val="29F2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1A6A"/>
    <w:multiLevelType w:val="hybridMultilevel"/>
    <w:tmpl w:val="C8F4C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F1997"/>
    <w:multiLevelType w:val="hybridMultilevel"/>
    <w:tmpl w:val="D37E2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650"/>
    <w:rsid w:val="00027E6A"/>
    <w:rsid w:val="000337C7"/>
    <w:rsid w:val="00040392"/>
    <w:rsid w:val="000C008F"/>
    <w:rsid w:val="000C58FF"/>
    <w:rsid w:val="001918E5"/>
    <w:rsid w:val="00215EF3"/>
    <w:rsid w:val="002B67B8"/>
    <w:rsid w:val="002D7D9D"/>
    <w:rsid w:val="003540FD"/>
    <w:rsid w:val="00370932"/>
    <w:rsid w:val="003A395B"/>
    <w:rsid w:val="003E6AA6"/>
    <w:rsid w:val="004014B2"/>
    <w:rsid w:val="00401B4E"/>
    <w:rsid w:val="004154FC"/>
    <w:rsid w:val="004E29E1"/>
    <w:rsid w:val="005133D6"/>
    <w:rsid w:val="00565567"/>
    <w:rsid w:val="00640650"/>
    <w:rsid w:val="00655B7F"/>
    <w:rsid w:val="00665111"/>
    <w:rsid w:val="00691C6C"/>
    <w:rsid w:val="006A0B30"/>
    <w:rsid w:val="006E6C94"/>
    <w:rsid w:val="00707308"/>
    <w:rsid w:val="00742051"/>
    <w:rsid w:val="0074573A"/>
    <w:rsid w:val="00755845"/>
    <w:rsid w:val="00881C03"/>
    <w:rsid w:val="008830CD"/>
    <w:rsid w:val="008C33EC"/>
    <w:rsid w:val="00917963"/>
    <w:rsid w:val="009665B5"/>
    <w:rsid w:val="009841FC"/>
    <w:rsid w:val="009D3C0E"/>
    <w:rsid w:val="00A05738"/>
    <w:rsid w:val="00A120CC"/>
    <w:rsid w:val="00A25495"/>
    <w:rsid w:val="00A37091"/>
    <w:rsid w:val="00A45D5E"/>
    <w:rsid w:val="00AA1D3F"/>
    <w:rsid w:val="00AC0085"/>
    <w:rsid w:val="00AE104C"/>
    <w:rsid w:val="00B93802"/>
    <w:rsid w:val="00BC0E09"/>
    <w:rsid w:val="00BF6244"/>
    <w:rsid w:val="00C314EF"/>
    <w:rsid w:val="00C4363C"/>
    <w:rsid w:val="00C55E10"/>
    <w:rsid w:val="00CD63DF"/>
    <w:rsid w:val="00CE0D06"/>
    <w:rsid w:val="00D363E9"/>
    <w:rsid w:val="00EA6F48"/>
    <w:rsid w:val="00EC52CA"/>
    <w:rsid w:val="00EF1D82"/>
    <w:rsid w:val="00EF6918"/>
    <w:rsid w:val="00F1098C"/>
    <w:rsid w:val="00F95C25"/>
    <w:rsid w:val="00FE42C4"/>
    <w:rsid w:val="00FF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D06"/>
    <w:pPr>
      <w:ind w:left="720"/>
      <w:contextualSpacing/>
    </w:pPr>
  </w:style>
  <w:style w:type="paragraph" w:styleId="NoSpacing">
    <w:name w:val="No Spacing"/>
    <w:qFormat/>
    <w:rsid w:val="001918E5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98C"/>
  </w:style>
  <w:style w:type="paragraph" w:styleId="Footer">
    <w:name w:val="footer"/>
    <w:basedOn w:val="Normal"/>
    <w:link w:val="FooterChar"/>
    <w:uiPriority w:val="99"/>
    <w:unhideWhenUsed/>
    <w:rsid w:val="00F1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Lyn</dc:creator>
  <cp:lastModifiedBy>Amber Pacella</cp:lastModifiedBy>
  <cp:revision>1</cp:revision>
  <cp:lastPrinted>2016-12-16T16:15:00Z</cp:lastPrinted>
  <dcterms:created xsi:type="dcterms:W3CDTF">2018-05-23T12:39:00Z</dcterms:created>
  <dcterms:modified xsi:type="dcterms:W3CDTF">2018-05-23T12:39:00Z</dcterms:modified>
</cp:coreProperties>
</file>